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5F1E" w:rsidRPr="008930EF" w:rsidRDefault="00205F1E" w:rsidP="00205F1E">
      <w:pPr>
        <w:tabs>
          <w:tab w:val="left" w:pos="9496"/>
        </w:tabs>
        <w:bidi w:val="0"/>
        <w:spacing w:after="0" w:line="240" w:lineRule="auto"/>
        <w:jc w:val="center"/>
        <w:rPr>
          <w:rFonts w:asciiTheme="majorBidi" w:hAnsiTheme="majorBidi" w:cstheme="majorBidi"/>
          <w:b/>
          <w:i/>
          <w:iCs/>
          <w:color w:val="000000"/>
          <w:sz w:val="28"/>
          <w:szCs w:val="28"/>
          <w:lang w:val="fr-FR" w:eastAsia="ar-SA"/>
        </w:rPr>
      </w:pPr>
      <w:r w:rsidRPr="008930EF">
        <w:rPr>
          <w:rFonts w:asciiTheme="majorBidi" w:hAnsiTheme="majorBidi" w:cstheme="majorBidi"/>
          <w:b/>
          <w:i/>
          <w:iCs/>
          <w:color w:val="000000"/>
          <w:sz w:val="28"/>
          <w:szCs w:val="28"/>
          <w:lang w:val="fr-FR" w:eastAsia="ar-SA"/>
        </w:rPr>
        <w:t>REALISATION ET SUIVIE DU MILIEU DE CULTURE BG11 DES MICROS ALGUES VERTES</w:t>
      </w:r>
    </w:p>
    <w:p w:rsidR="00205F1E" w:rsidRPr="00DA4F36" w:rsidRDefault="00205F1E" w:rsidP="00205F1E">
      <w:pPr>
        <w:spacing w:after="0" w:line="240" w:lineRule="auto"/>
        <w:jc w:val="center"/>
        <w:rPr>
          <w:rFonts w:cs="Times New Roman"/>
          <w:b/>
          <w:color w:val="000000"/>
          <w:sz w:val="20"/>
          <w:szCs w:val="20"/>
          <w:lang w:val="fr-FR" w:eastAsia="ar-SA"/>
        </w:rPr>
      </w:pPr>
      <w:r w:rsidRPr="00DA4F36">
        <w:rPr>
          <w:rFonts w:cs="Times New Roman"/>
          <w:b/>
          <w:color w:val="000000"/>
          <w:sz w:val="20"/>
          <w:szCs w:val="20"/>
          <w:lang w:val="fr-FR" w:eastAsia="ar-SA"/>
        </w:rPr>
        <w:t>Rekbia. F</w:t>
      </w:r>
      <w:r w:rsidRPr="00DA4F36">
        <w:rPr>
          <w:rFonts w:cs="Times New Roman"/>
          <w:b/>
          <w:color w:val="000000"/>
          <w:sz w:val="20"/>
          <w:szCs w:val="20"/>
          <w:vertAlign w:val="superscript"/>
          <w:lang w:val="fr-FR" w:eastAsia="ar-SA"/>
        </w:rPr>
        <w:t xml:space="preserve"> (1)</w:t>
      </w:r>
      <w:r w:rsidRPr="00DA4F36">
        <w:rPr>
          <w:rFonts w:cs="Times New Roman"/>
          <w:b/>
          <w:color w:val="000000"/>
          <w:sz w:val="20"/>
          <w:szCs w:val="20"/>
          <w:lang w:val="fr-FR" w:eastAsia="ar-SA"/>
        </w:rPr>
        <w:t>, Guessoum. T</w:t>
      </w:r>
      <w:r w:rsidRPr="00DA4F36">
        <w:rPr>
          <w:rFonts w:cs="Times New Roman"/>
          <w:b/>
          <w:color w:val="000000"/>
          <w:sz w:val="20"/>
          <w:szCs w:val="20"/>
          <w:vertAlign w:val="superscript"/>
          <w:lang w:val="fr-FR" w:eastAsia="ar-SA"/>
        </w:rPr>
        <w:t xml:space="preserve"> (1)</w:t>
      </w:r>
      <w:r w:rsidRPr="00DA4F36">
        <w:rPr>
          <w:rFonts w:cs="Times New Roman"/>
          <w:b/>
          <w:color w:val="000000"/>
          <w:sz w:val="20"/>
          <w:szCs w:val="20"/>
          <w:lang w:val="fr-FR" w:eastAsia="ar-SA"/>
        </w:rPr>
        <w:t>, Rouane. A</w:t>
      </w:r>
      <w:r w:rsidRPr="00DA4F36">
        <w:rPr>
          <w:rFonts w:cs="Times New Roman"/>
          <w:b/>
          <w:color w:val="000000"/>
          <w:sz w:val="20"/>
          <w:szCs w:val="20"/>
          <w:vertAlign w:val="superscript"/>
          <w:lang w:val="fr-FR" w:eastAsia="ar-SA"/>
        </w:rPr>
        <w:t xml:space="preserve"> (1,2)</w:t>
      </w:r>
    </w:p>
    <w:p w:rsidR="00205F1E" w:rsidRPr="00DA4F36" w:rsidRDefault="00205F1E" w:rsidP="00205F1E">
      <w:pPr>
        <w:bidi w:val="0"/>
        <w:spacing w:after="0" w:line="240" w:lineRule="auto"/>
        <w:jc w:val="center"/>
        <w:rPr>
          <w:rFonts w:ascii="Bodoni MT" w:eastAsia="Times New Roman" w:hAnsi="Bodoni MT" w:cs="Times New Roman"/>
          <w:b/>
          <w:sz w:val="20"/>
          <w:szCs w:val="20"/>
          <w:lang w:val="fr-FR"/>
        </w:rPr>
      </w:pPr>
      <w:r w:rsidRPr="00DA4F36">
        <w:rPr>
          <w:rFonts w:ascii="Bodoni MT" w:eastAsia="Times New Roman" w:hAnsi="Bodoni MT" w:cs="Times New Roman"/>
          <w:b/>
          <w:sz w:val="20"/>
          <w:szCs w:val="20"/>
          <w:lang w:val="fr-FR"/>
        </w:rPr>
        <w:t xml:space="preserve">1. Laboratoire de génie des procédés </w:t>
      </w:r>
    </w:p>
    <w:p w:rsidR="00205F1E" w:rsidRPr="00DA4F36" w:rsidRDefault="00205F1E" w:rsidP="00205F1E">
      <w:pPr>
        <w:bidi w:val="0"/>
        <w:spacing w:after="0" w:line="240" w:lineRule="auto"/>
        <w:jc w:val="center"/>
        <w:rPr>
          <w:rFonts w:ascii="Bodoni MT" w:eastAsia="Times New Roman" w:hAnsi="Bodoni MT" w:cs="Times New Roman"/>
          <w:b/>
          <w:sz w:val="20"/>
          <w:szCs w:val="20"/>
          <w:lang w:val="fr-FR"/>
        </w:rPr>
      </w:pPr>
      <w:r w:rsidRPr="00DA4F36">
        <w:rPr>
          <w:rFonts w:ascii="Bodoni MT" w:eastAsia="Times New Roman" w:hAnsi="Bodoni MT" w:cs="Times New Roman"/>
          <w:b/>
          <w:sz w:val="20"/>
          <w:szCs w:val="20"/>
          <w:lang w:val="fr-FR"/>
        </w:rPr>
        <w:t>2· Laboratoire Dynamique, Interaction et Réactivité des Systèmes</w:t>
      </w:r>
    </w:p>
    <w:p w:rsidR="00205F1E" w:rsidRPr="00DA4F36" w:rsidRDefault="00205F1E" w:rsidP="00205F1E">
      <w:pPr>
        <w:tabs>
          <w:tab w:val="left" w:pos="915"/>
        </w:tabs>
        <w:bidi w:val="0"/>
        <w:spacing w:line="240" w:lineRule="auto"/>
        <w:jc w:val="center"/>
        <w:rPr>
          <w:rFonts w:ascii="Bodoni MT" w:eastAsia="Times New Roman" w:hAnsi="Bodoni MT" w:cs="Times New Roman"/>
          <w:sz w:val="20"/>
          <w:szCs w:val="20"/>
          <w:lang w:val="fr-FR" w:bidi="ar-DZ"/>
        </w:rPr>
      </w:pPr>
      <w:hyperlink r:id="rId6" w:history="1">
        <w:r w:rsidRPr="00DA4F36">
          <w:rPr>
            <w:rStyle w:val="Lienhypertexte"/>
            <w:rFonts w:cs="Times New Roman"/>
            <w:b/>
            <w:sz w:val="20"/>
            <w:szCs w:val="20"/>
            <w:lang w:val="fr-FR" w:eastAsia="ar-SA"/>
          </w:rPr>
          <w:t>azoue83@yahoo.com.</w:t>
        </w:r>
      </w:hyperlink>
    </w:p>
    <w:p w:rsidR="00205F1E" w:rsidRPr="00DC20E3" w:rsidRDefault="00205F1E" w:rsidP="00205F1E">
      <w:pPr>
        <w:tabs>
          <w:tab w:val="left" w:pos="915"/>
        </w:tabs>
        <w:bidi w:val="0"/>
        <w:spacing w:line="240" w:lineRule="auto"/>
        <w:rPr>
          <w:rFonts w:asciiTheme="majorBidi" w:eastAsia="Times New Roman" w:hAnsiTheme="majorBidi" w:cstheme="majorBidi"/>
          <w:b/>
          <w:bCs/>
          <w:sz w:val="28"/>
          <w:szCs w:val="28"/>
          <w:u w:val="single"/>
          <w:lang w:val="fr-FR" w:bidi="ar-DZ"/>
        </w:rPr>
      </w:pPr>
      <w:r w:rsidRPr="00DC20E3">
        <w:rPr>
          <w:rFonts w:asciiTheme="majorBidi" w:eastAsia="Times New Roman" w:hAnsiTheme="majorBidi" w:cstheme="majorBidi"/>
          <w:b/>
          <w:bCs/>
          <w:sz w:val="28"/>
          <w:szCs w:val="28"/>
          <w:u w:val="single"/>
          <w:lang w:val="fr-FR" w:bidi="ar-DZ"/>
        </w:rPr>
        <w:t>Résumé :</w:t>
      </w:r>
    </w:p>
    <w:p w:rsidR="00205F1E" w:rsidRPr="00DC20E3" w:rsidRDefault="00205F1E" w:rsidP="00205F1E">
      <w:pPr>
        <w:bidi w:val="0"/>
        <w:spacing w:after="0" w:line="240" w:lineRule="auto"/>
        <w:ind w:firstLine="720"/>
        <w:jc w:val="both"/>
        <w:rPr>
          <w:rFonts w:asciiTheme="majorBidi" w:eastAsia="Times New Roman" w:hAnsiTheme="majorBidi" w:cstheme="majorBidi"/>
          <w:sz w:val="24"/>
          <w:szCs w:val="24"/>
          <w:lang w:val="fr-FR" w:bidi="ar-DZ"/>
        </w:rPr>
      </w:pPr>
      <w:r w:rsidRPr="00DC20E3">
        <w:rPr>
          <w:rFonts w:asciiTheme="majorBidi" w:eastAsia="Times New Roman" w:hAnsiTheme="majorBidi" w:cstheme="majorBidi"/>
          <w:sz w:val="24"/>
          <w:szCs w:val="24"/>
          <w:lang w:val="fr-FR" w:bidi="ar-DZ"/>
        </w:rPr>
        <w:t>Dans notre travail on s’intéresse à réaliser un système de nutrition des micros algues vertes qui est le milieu de culture BG 11, en le suivi par mesure de nombre de cellule et on essaie de suivre le test de purification ou diminution du taux de salinité de l’eau de robinet du pole 3.</w:t>
      </w:r>
    </w:p>
    <w:p w:rsidR="00205F1E" w:rsidRPr="00DC20E3" w:rsidRDefault="00205F1E" w:rsidP="00205F1E">
      <w:pPr>
        <w:bidi w:val="0"/>
        <w:spacing w:after="0"/>
        <w:rPr>
          <w:rFonts w:asciiTheme="majorBidi" w:eastAsia="Times New Roman" w:hAnsiTheme="majorBidi" w:cstheme="majorBidi"/>
          <w:sz w:val="24"/>
          <w:szCs w:val="24"/>
          <w:lang w:val="fr-FR" w:bidi="ar-DZ"/>
        </w:rPr>
      </w:pPr>
      <w:r w:rsidRPr="00DC20E3">
        <w:rPr>
          <w:rFonts w:asciiTheme="majorBidi" w:eastAsia="Times New Roman" w:hAnsiTheme="majorBidi" w:cstheme="majorBidi"/>
          <w:sz w:val="24"/>
          <w:szCs w:val="24"/>
          <w:lang w:val="fr-FR" w:bidi="ar-DZ"/>
        </w:rPr>
        <w:t>La biomasse est le résultat de notre travail pour l’utiliser dans des thèmes de recherche.</w:t>
      </w:r>
    </w:p>
    <w:p w:rsidR="00205F1E" w:rsidRPr="00DC20E3" w:rsidRDefault="00205F1E" w:rsidP="00205F1E">
      <w:pPr>
        <w:bidi w:val="0"/>
        <w:spacing w:after="0" w:line="360" w:lineRule="auto"/>
        <w:ind w:right="425"/>
        <w:rPr>
          <w:rFonts w:asciiTheme="majorBidi" w:eastAsia="Times New Roman" w:hAnsiTheme="majorBidi" w:cstheme="majorBidi"/>
          <w:sz w:val="24"/>
          <w:szCs w:val="24"/>
          <w:rtl/>
          <w:lang w:val="fr-FR" w:bidi="ar-DZ"/>
        </w:rPr>
      </w:pPr>
      <w:r w:rsidRPr="00DC20E3">
        <w:rPr>
          <w:rFonts w:asciiTheme="majorBidi" w:eastAsia="Times New Roman" w:hAnsiTheme="majorBidi" w:cstheme="majorBidi"/>
          <w:b/>
          <w:bCs/>
          <w:sz w:val="24"/>
          <w:szCs w:val="24"/>
          <w:lang w:val="fr-FR" w:bidi="ar-DZ"/>
        </w:rPr>
        <w:t>Mots clés</w:t>
      </w:r>
      <w:r w:rsidRPr="00DC20E3">
        <w:rPr>
          <w:rFonts w:asciiTheme="majorBidi" w:eastAsia="Times New Roman" w:hAnsiTheme="majorBidi" w:cstheme="majorBidi"/>
          <w:sz w:val="24"/>
          <w:szCs w:val="24"/>
          <w:lang w:val="fr-FR" w:bidi="ar-DZ"/>
        </w:rPr>
        <w:t> : micro algue, bg11, salinité, comptage</w:t>
      </w:r>
    </w:p>
    <w:p w:rsidR="00205F1E" w:rsidRPr="00DC20E3" w:rsidRDefault="00205F1E" w:rsidP="00205F1E">
      <w:pPr>
        <w:spacing w:line="240" w:lineRule="auto"/>
        <w:jc w:val="right"/>
        <w:rPr>
          <w:rFonts w:asciiTheme="majorBidi" w:hAnsiTheme="majorBidi" w:cstheme="majorBidi"/>
          <w:b/>
          <w:color w:val="000000"/>
          <w:sz w:val="24"/>
          <w:szCs w:val="24"/>
          <w:u w:val="single"/>
          <w:rtl/>
          <w:lang w:val="fr-FR" w:eastAsia="ar-SA" w:bidi="ar-DZ"/>
        </w:rPr>
      </w:pPr>
      <w:r w:rsidRPr="00DC20E3">
        <w:rPr>
          <w:rFonts w:asciiTheme="majorBidi" w:hAnsiTheme="majorBidi" w:cstheme="majorBidi"/>
          <w:b/>
          <w:color w:val="000000"/>
          <w:sz w:val="28"/>
          <w:szCs w:val="28"/>
          <w:u w:val="single"/>
          <w:lang w:val="fr-FR" w:eastAsia="ar-SA" w:bidi="ar-DZ"/>
        </w:rPr>
        <w:t>Introduction</w:t>
      </w:r>
    </w:p>
    <w:p w:rsidR="00205F1E" w:rsidRDefault="00205F1E" w:rsidP="00205F1E">
      <w:pPr>
        <w:bidi w:val="0"/>
        <w:spacing w:after="0" w:line="240" w:lineRule="auto"/>
        <w:ind w:firstLine="720"/>
        <w:jc w:val="both"/>
        <w:rPr>
          <w:rFonts w:asciiTheme="majorBidi" w:eastAsia="Times New Roman" w:hAnsiTheme="majorBidi" w:cstheme="majorBidi"/>
          <w:sz w:val="24"/>
          <w:szCs w:val="24"/>
          <w:lang w:val="fr-FR"/>
        </w:rPr>
      </w:pPr>
      <w:r w:rsidRPr="00DC20E3">
        <w:rPr>
          <w:rFonts w:asciiTheme="majorBidi" w:eastAsia="Times New Roman" w:hAnsiTheme="majorBidi" w:cstheme="majorBidi"/>
          <w:sz w:val="24"/>
          <w:szCs w:val="24"/>
          <w:lang w:val="fr-FR"/>
        </w:rPr>
        <w:t xml:space="preserve">Les micros </w:t>
      </w:r>
      <w:r w:rsidRPr="00DC20E3">
        <w:rPr>
          <w:rFonts w:asciiTheme="majorBidi" w:eastAsia="Times New Roman" w:hAnsiTheme="majorBidi" w:cstheme="majorBidi"/>
          <w:b/>
          <w:bCs/>
          <w:sz w:val="24"/>
          <w:szCs w:val="24"/>
          <w:lang w:val="fr-FR"/>
        </w:rPr>
        <w:t>algues</w:t>
      </w:r>
      <w:r w:rsidRPr="00DC20E3">
        <w:rPr>
          <w:rFonts w:asciiTheme="majorBidi" w:eastAsia="Times New Roman" w:hAnsiTheme="majorBidi" w:cstheme="majorBidi"/>
          <w:sz w:val="24"/>
          <w:szCs w:val="24"/>
          <w:lang w:val="fr-FR"/>
        </w:rPr>
        <w:t xml:space="preserve"> sont des êtres vivants capables de </w:t>
      </w:r>
      <w:hyperlink r:id="rId7" w:tooltip="Photosynthèse" w:history="1">
        <w:r w:rsidRPr="00DC20E3">
          <w:rPr>
            <w:rFonts w:asciiTheme="majorBidi" w:eastAsia="Times New Roman" w:hAnsiTheme="majorBidi" w:cstheme="majorBidi"/>
            <w:sz w:val="24"/>
            <w:szCs w:val="24"/>
            <w:lang w:val="fr-FR"/>
          </w:rPr>
          <w:t>photosynthèse</w:t>
        </w:r>
      </w:hyperlink>
      <w:r w:rsidRPr="00DC20E3">
        <w:rPr>
          <w:rFonts w:asciiTheme="majorBidi" w:eastAsia="Times New Roman" w:hAnsiTheme="majorBidi" w:cstheme="majorBidi"/>
          <w:sz w:val="24"/>
          <w:szCs w:val="24"/>
          <w:lang w:val="fr-FR"/>
        </w:rPr>
        <w:t xml:space="preserve"> dont le </w:t>
      </w:r>
      <w:hyperlink r:id="rId8" w:tooltip="Cycle de vie (biologie)" w:history="1">
        <w:r w:rsidRPr="00DC20E3">
          <w:rPr>
            <w:rFonts w:asciiTheme="majorBidi" w:eastAsia="Times New Roman" w:hAnsiTheme="majorBidi" w:cstheme="majorBidi"/>
            <w:sz w:val="24"/>
            <w:szCs w:val="24"/>
            <w:lang w:val="fr-FR"/>
          </w:rPr>
          <w:t>cycle de vie</w:t>
        </w:r>
      </w:hyperlink>
      <w:r w:rsidRPr="00DC20E3">
        <w:rPr>
          <w:rFonts w:asciiTheme="majorBidi" w:eastAsia="Times New Roman" w:hAnsiTheme="majorBidi" w:cstheme="majorBidi"/>
          <w:sz w:val="24"/>
          <w:szCs w:val="24"/>
          <w:lang w:val="fr-FR"/>
        </w:rPr>
        <w:t xml:space="preserve"> se déroule généralement en milieu </w:t>
      </w:r>
      <w:hyperlink r:id="rId9" w:tooltip="Eau" w:history="1">
        <w:r w:rsidRPr="00DC20E3">
          <w:rPr>
            <w:rFonts w:asciiTheme="majorBidi" w:eastAsia="Times New Roman" w:hAnsiTheme="majorBidi" w:cstheme="majorBidi"/>
            <w:sz w:val="24"/>
            <w:szCs w:val="24"/>
            <w:lang w:val="fr-FR"/>
          </w:rPr>
          <w:t>aquatique</w:t>
        </w:r>
      </w:hyperlink>
      <w:r w:rsidRPr="00DC20E3">
        <w:rPr>
          <w:rFonts w:asciiTheme="majorBidi" w:eastAsia="Times New Roman" w:hAnsiTheme="majorBidi" w:cstheme="majorBidi"/>
          <w:sz w:val="24"/>
          <w:szCs w:val="24"/>
          <w:lang w:val="fr-FR"/>
        </w:rPr>
        <w:t xml:space="preserve">. Elles constituent une part très importante de la </w:t>
      </w:r>
      <w:hyperlink r:id="rId10" w:tooltip="Biodiversité" w:history="1">
        <w:r w:rsidRPr="00DC20E3">
          <w:rPr>
            <w:rFonts w:asciiTheme="majorBidi" w:eastAsia="Times New Roman" w:hAnsiTheme="majorBidi" w:cstheme="majorBidi"/>
            <w:sz w:val="24"/>
            <w:szCs w:val="24"/>
            <w:lang w:val="fr-FR"/>
          </w:rPr>
          <w:t>biodiversité</w:t>
        </w:r>
      </w:hyperlink>
      <w:r w:rsidRPr="00DC20E3">
        <w:rPr>
          <w:rFonts w:asciiTheme="majorBidi" w:eastAsia="Times New Roman" w:hAnsiTheme="majorBidi" w:cstheme="majorBidi"/>
          <w:sz w:val="24"/>
          <w:szCs w:val="24"/>
          <w:lang w:val="fr-FR"/>
        </w:rPr>
        <w:t xml:space="preserve"> et la base principale des </w:t>
      </w:r>
      <w:hyperlink r:id="rId11" w:tooltip="Réseau trophique" w:history="1">
        <w:r w:rsidRPr="00DC20E3">
          <w:rPr>
            <w:rFonts w:asciiTheme="majorBidi" w:eastAsia="Times New Roman" w:hAnsiTheme="majorBidi" w:cstheme="majorBidi"/>
            <w:sz w:val="24"/>
            <w:szCs w:val="24"/>
            <w:lang w:val="fr-FR"/>
          </w:rPr>
          <w:t>chaînes alimentaires</w:t>
        </w:r>
      </w:hyperlink>
      <w:r w:rsidRPr="00DC20E3">
        <w:rPr>
          <w:rFonts w:asciiTheme="majorBidi" w:eastAsia="Times New Roman" w:hAnsiTheme="majorBidi" w:cstheme="majorBidi"/>
          <w:sz w:val="24"/>
          <w:szCs w:val="24"/>
          <w:lang w:val="fr-FR"/>
        </w:rPr>
        <w:t xml:space="preserve"> des eaux douces, saumâtres et marines. Diverses espèces sont utilisées pour l'alimentation humaine, l'agriculture ou l'industrie.</w:t>
      </w:r>
    </w:p>
    <w:p w:rsidR="00205F1E" w:rsidRPr="00205F1E" w:rsidRDefault="00205F1E" w:rsidP="00205F1E">
      <w:pPr>
        <w:bidi w:val="0"/>
        <w:spacing w:before="100" w:beforeAutospacing="1" w:after="100" w:afterAutospacing="1" w:line="240" w:lineRule="auto"/>
        <w:jc w:val="both"/>
        <w:rPr>
          <w:rFonts w:asciiTheme="majorBidi" w:eastAsia="Times New Roman" w:hAnsiTheme="majorBidi" w:cstheme="majorBidi"/>
          <w:b/>
          <w:bCs/>
          <w:sz w:val="28"/>
          <w:szCs w:val="28"/>
          <w:u w:val="single"/>
          <w:lang w:val="fr-FR"/>
        </w:rPr>
      </w:pPr>
      <w:r w:rsidRPr="00205F1E">
        <w:rPr>
          <w:rFonts w:asciiTheme="majorBidi" w:eastAsia="Times New Roman" w:hAnsiTheme="majorBidi" w:cstheme="majorBidi"/>
          <w:b/>
          <w:bCs/>
          <w:sz w:val="28"/>
          <w:szCs w:val="28"/>
          <w:u w:val="single"/>
          <w:lang w:val="fr-FR"/>
        </w:rPr>
        <w:t>Expérimental :</w:t>
      </w:r>
    </w:p>
    <w:p w:rsidR="00205F1E" w:rsidRPr="00DA4F36" w:rsidRDefault="00205F1E" w:rsidP="00E32A05">
      <w:pPr>
        <w:jc w:val="right"/>
        <w:rPr>
          <w:rFonts w:ascii="Bodoni MT" w:eastAsia="Times New Roman" w:hAnsi="Bodoni MT" w:cs="Times New Roman"/>
          <w:b/>
          <w:sz w:val="28"/>
          <w:szCs w:val="28"/>
          <w:u w:val="single"/>
          <w:lang w:val="fr-FR" w:bidi="ar-DZ"/>
        </w:rPr>
      </w:pPr>
      <w:r>
        <w:rPr>
          <w:rFonts w:cs="Times New Roman"/>
          <w:b/>
          <w:noProof/>
          <w:color w:val="000000"/>
          <w:sz w:val="28"/>
          <w:szCs w:val="28"/>
          <w:lang w:val="fr-FR" w:eastAsia="fr-FR"/>
        </w:rPr>
        <w:drawing>
          <wp:inline distT="0" distB="0" distL="0" distR="0" wp14:anchorId="77789367" wp14:editId="67BBC396">
            <wp:extent cx="6191250" cy="1419225"/>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0" cy="1419225"/>
                    </a:xfrm>
                    <a:prstGeom prst="rect">
                      <a:avLst/>
                    </a:prstGeom>
                    <a:noFill/>
                  </pic:spPr>
                </pic:pic>
              </a:graphicData>
            </a:graphic>
          </wp:inline>
        </w:drawing>
      </w:r>
      <w:r w:rsidRPr="00205F1E">
        <w:rPr>
          <w:rFonts w:asciiTheme="majorBidi" w:eastAsia="Times New Roman" w:hAnsiTheme="majorBidi" w:cstheme="majorBidi"/>
          <w:b/>
          <w:sz w:val="28"/>
          <w:szCs w:val="28"/>
          <w:u w:val="single"/>
          <w:lang w:val="fr-FR" w:bidi="ar-DZ"/>
        </w:rPr>
        <w:t>Mesure :</w:t>
      </w:r>
    </w:p>
    <w:p w:rsidR="00205F1E" w:rsidRPr="00DA4F36" w:rsidRDefault="00205F1E" w:rsidP="00205F1E">
      <w:pPr>
        <w:pStyle w:val="Paragraphedeliste"/>
        <w:bidi w:val="0"/>
        <w:spacing w:line="240" w:lineRule="auto"/>
        <w:rPr>
          <w:rFonts w:asciiTheme="majorBidi" w:eastAsia="Times New Roman" w:hAnsiTheme="majorBidi" w:cstheme="majorBidi"/>
          <w:bCs/>
          <w:sz w:val="24"/>
          <w:szCs w:val="24"/>
          <w:lang w:val="fr-FR" w:bidi="ar-DZ"/>
        </w:rPr>
      </w:pPr>
      <w:r w:rsidRPr="00DA4F36">
        <w:rPr>
          <w:rFonts w:asciiTheme="majorBidi" w:eastAsia="Times New Roman" w:hAnsiTheme="majorBidi" w:cstheme="majorBidi"/>
          <w:bCs/>
          <w:sz w:val="24"/>
          <w:szCs w:val="24"/>
          <w:lang w:val="fr-FR" w:bidi="ar-DZ"/>
        </w:rPr>
        <w:t>-Comptage des cellules de bg11</w:t>
      </w:r>
    </w:p>
    <w:p w:rsidR="00205F1E" w:rsidRPr="00DA4F36" w:rsidRDefault="00205F1E" w:rsidP="00205F1E">
      <w:pPr>
        <w:pStyle w:val="Paragraphedeliste"/>
        <w:bidi w:val="0"/>
        <w:spacing w:line="240" w:lineRule="auto"/>
        <w:rPr>
          <w:rFonts w:asciiTheme="majorBidi" w:eastAsia="Times New Roman" w:hAnsiTheme="majorBidi" w:cstheme="majorBidi"/>
          <w:bCs/>
          <w:sz w:val="24"/>
          <w:szCs w:val="24"/>
          <w:lang w:val="fr-FR" w:bidi="ar-DZ"/>
        </w:rPr>
      </w:pPr>
      <w:r w:rsidRPr="00DA4F36">
        <w:rPr>
          <w:rFonts w:asciiTheme="majorBidi" w:eastAsia="Times New Roman" w:hAnsiTheme="majorBidi" w:cstheme="majorBidi"/>
          <w:bCs/>
          <w:sz w:val="24"/>
          <w:szCs w:val="24"/>
          <w:lang w:val="fr-FR" w:bidi="ar-DZ"/>
        </w:rPr>
        <w:t xml:space="preserve">-mesure journalière de la salinité de l’eau de robinet </w:t>
      </w:r>
    </w:p>
    <w:p w:rsidR="00205F1E" w:rsidRPr="00DA4F36" w:rsidRDefault="00205F1E" w:rsidP="00205F1E">
      <w:pPr>
        <w:pStyle w:val="Paragraphedeliste"/>
        <w:bidi w:val="0"/>
        <w:spacing w:line="240" w:lineRule="auto"/>
        <w:rPr>
          <w:rFonts w:asciiTheme="majorBidi" w:eastAsia="Times New Roman" w:hAnsiTheme="majorBidi" w:cstheme="majorBidi"/>
          <w:bCs/>
          <w:sz w:val="24"/>
          <w:szCs w:val="24"/>
          <w:lang w:val="fr-FR" w:bidi="ar-DZ"/>
        </w:rPr>
      </w:pPr>
      <w:r w:rsidRPr="00DA4F36">
        <w:rPr>
          <w:rFonts w:asciiTheme="majorBidi" w:eastAsia="Times New Roman" w:hAnsiTheme="majorBidi" w:cstheme="majorBidi"/>
          <w:bCs/>
          <w:sz w:val="24"/>
          <w:szCs w:val="24"/>
          <w:lang w:val="fr-FR" w:bidi="ar-DZ"/>
        </w:rPr>
        <w:t xml:space="preserve">- Comptage des cellules de l’eau de robinet </w:t>
      </w:r>
    </w:p>
    <w:p w:rsidR="00205F1E" w:rsidRPr="00DA4F36" w:rsidRDefault="00205F1E" w:rsidP="00205F1E">
      <w:pPr>
        <w:pStyle w:val="Paragraphedeliste"/>
        <w:bidi w:val="0"/>
        <w:spacing w:line="240" w:lineRule="auto"/>
        <w:rPr>
          <w:rFonts w:asciiTheme="majorBidi" w:eastAsia="Times New Roman" w:hAnsiTheme="majorBidi" w:cstheme="majorBidi"/>
          <w:bCs/>
          <w:sz w:val="24"/>
          <w:szCs w:val="24"/>
          <w:lang w:val="fr-FR" w:bidi="ar-DZ"/>
        </w:rPr>
      </w:pPr>
      <w:r w:rsidRPr="00DA4F36">
        <w:rPr>
          <w:rFonts w:asciiTheme="majorBidi" w:eastAsia="Times New Roman" w:hAnsiTheme="majorBidi" w:cstheme="majorBidi"/>
          <w:bCs/>
          <w:sz w:val="24"/>
          <w:szCs w:val="24"/>
          <w:lang w:val="fr-FR" w:bidi="ar-DZ"/>
        </w:rPr>
        <w:t>- mesure du rendement</w:t>
      </w:r>
    </w:p>
    <w:p w:rsidR="00205F1E" w:rsidRPr="00DA4F36" w:rsidRDefault="00205F1E" w:rsidP="00205F1E">
      <w:pPr>
        <w:pStyle w:val="Paragraphedeliste"/>
        <w:bidi w:val="0"/>
        <w:spacing w:line="240" w:lineRule="auto"/>
        <w:rPr>
          <w:rFonts w:asciiTheme="majorBidi" w:eastAsia="Times New Roman" w:hAnsiTheme="majorBidi" w:cstheme="majorBidi"/>
          <w:bCs/>
          <w:sz w:val="24"/>
          <w:szCs w:val="24"/>
          <w:lang w:val="fr-FR" w:bidi="ar-DZ"/>
        </w:rPr>
      </w:pPr>
      <w:r w:rsidRPr="00DA4F36">
        <w:rPr>
          <w:rFonts w:asciiTheme="majorBidi" w:eastAsia="Times New Roman" w:hAnsiTheme="majorBidi" w:cstheme="majorBidi"/>
          <w:bCs/>
          <w:sz w:val="24"/>
          <w:szCs w:val="24"/>
          <w:lang w:val="fr-FR" w:bidi="ar-DZ"/>
        </w:rPr>
        <w:t>- faire la biomasse</w:t>
      </w:r>
    </w:p>
    <w:p w:rsidR="00205F1E" w:rsidRPr="00FE1657" w:rsidRDefault="00FE1657" w:rsidP="00205F1E">
      <w:pPr>
        <w:pStyle w:val="Paragraphedeliste"/>
        <w:spacing w:line="240" w:lineRule="auto"/>
        <w:jc w:val="right"/>
        <w:rPr>
          <w:rFonts w:asciiTheme="majorBidi" w:eastAsia="Times New Roman" w:hAnsiTheme="majorBidi" w:cstheme="majorBidi"/>
          <w:b/>
          <w:sz w:val="28"/>
          <w:szCs w:val="28"/>
          <w:u w:val="single"/>
          <w:rtl/>
          <w:lang w:val="fr-FR" w:bidi="ar-DZ"/>
        </w:rPr>
      </w:pPr>
      <w:r w:rsidRPr="00FE1657">
        <w:rPr>
          <w:rFonts w:asciiTheme="majorBidi" w:eastAsia="Times New Roman" w:hAnsiTheme="majorBidi" w:cstheme="majorBidi"/>
          <w:b/>
          <w:sz w:val="28"/>
          <w:szCs w:val="28"/>
          <w:u w:val="single"/>
          <w:lang w:bidi="ar-DZ"/>
        </w:rPr>
        <w:t>References:</w:t>
      </w:r>
      <w:bookmarkStart w:id="0" w:name="_GoBack"/>
      <w:bookmarkEnd w:id="0"/>
    </w:p>
    <w:p w:rsidR="00205F1E" w:rsidRDefault="00205F1E" w:rsidP="00FE1657">
      <w:pPr>
        <w:autoSpaceDE w:val="0"/>
        <w:autoSpaceDN w:val="0"/>
        <w:bidi w:val="0"/>
        <w:adjustRightInd w:val="0"/>
        <w:spacing w:after="0" w:line="240" w:lineRule="auto"/>
        <w:jc w:val="both"/>
        <w:rPr>
          <w:rFonts w:asciiTheme="majorBidi" w:hAnsiTheme="majorBidi" w:cstheme="majorBidi"/>
          <w:bCs/>
          <w:sz w:val="20"/>
          <w:szCs w:val="20"/>
        </w:rPr>
      </w:pPr>
      <w:r w:rsidRPr="007F2D82">
        <w:rPr>
          <w:rFonts w:asciiTheme="majorBidi" w:eastAsia="Times New Roman" w:hAnsiTheme="majorBidi" w:cstheme="majorBidi"/>
          <w:bCs/>
          <w:sz w:val="20"/>
          <w:szCs w:val="20"/>
          <w:rtl/>
          <w:lang w:bidi="ar-DZ"/>
        </w:rPr>
        <w:t xml:space="preserve">1 </w:t>
      </w:r>
      <w:r w:rsidRPr="007F2D82">
        <w:rPr>
          <w:rFonts w:asciiTheme="majorBidi" w:eastAsia="Times New Roman" w:hAnsiTheme="majorBidi" w:cstheme="majorBidi"/>
          <w:bCs/>
          <w:sz w:val="20"/>
          <w:szCs w:val="20"/>
          <w:lang w:bidi="ar-DZ"/>
        </w:rPr>
        <w:t>-Mary</w:t>
      </w:r>
      <w:r w:rsidRPr="007F2D82">
        <w:rPr>
          <w:rFonts w:asciiTheme="majorBidi" w:hAnsiTheme="majorBidi" w:cstheme="majorBidi"/>
          <w:bCs/>
          <w:sz w:val="20"/>
          <w:szCs w:val="20"/>
        </w:rPr>
        <w:t xml:space="preserve"> </w:t>
      </w:r>
      <w:proofErr w:type="spellStart"/>
      <w:r w:rsidRPr="007F2D82">
        <w:rPr>
          <w:rFonts w:asciiTheme="majorBidi" w:hAnsiTheme="majorBidi" w:cstheme="majorBidi"/>
          <w:bCs/>
          <w:sz w:val="20"/>
          <w:szCs w:val="20"/>
        </w:rPr>
        <w:t>mennes</w:t>
      </w:r>
      <w:proofErr w:type="spellEnd"/>
      <w:r w:rsidRPr="007F2D82">
        <w:rPr>
          <w:rFonts w:asciiTheme="majorBidi" w:hAnsiTheme="majorBidi" w:cstheme="majorBidi"/>
          <w:bCs/>
          <w:sz w:val="20"/>
          <w:szCs w:val="20"/>
        </w:rPr>
        <w:t xml:space="preserve"> </w:t>
      </w:r>
      <w:proofErr w:type="spellStart"/>
      <w:r w:rsidRPr="007F2D82">
        <w:rPr>
          <w:rFonts w:asciiTheme="majorBidi" w:hAnsiTheme="majorBidi" w:cstheme="majorBidi"/>
          <w:bCs/>
          <w:sz w:val="20"/>
          <w:szCs w:val="20"/>
        </w:rPr>
        <w:t>allen</w:t>
      </w:r>
      <w:proofErr w:type="spellEnd"/>
      <w:r w:rsidRPr="007F2D82">
        <w:rPr>
          <w:rFonts w:asciiTheme="majorBidi" w:hAnsiTheme="majorBidi" w:cstheme="majorBidi"/>
          <w:bCs/>
          <w:sz w:val="20"/>
          <w:szCs w:val="20"/>
        </w:rPr>
        <w:t xml:space="preserve"> and r. Y. </w:t>
      </w:r>
      <w:proofErr w:type="spellStart"/>
      <w:r w:rsidRPr="007F2D82">
        <w:rPr>
          <w:rFonts w:asciiTheme="majorBidi" w:hAnsiTheme="majorBidi" w:cstheme="majorBidi"/>
          <w:bCs/>
          <w:sz w:val="20"/>
          <w:szCs w:val="20"/>
        </w:rPr>
        <w:t>Stanier</w:t>
      </w:r>
      <w:proofErr w:type="spellEnd"/>
      <w:r w:rsidRPr="007F2D82">
        <w:rPr>
          <w:rFonts w:asciiTheme="majorBidi" w:hAnsiTheme="majorBidi" w:cstheme="majorBidi"/>
          <w:bCs/>
          <w:sz w:val="20"/>
          <w:szCs w:val="20"/>
          <w:rtl/>
        </w:rPr>
        <w:t xml:space="preserve"> 1</w:t>
      </w:r>
      <w:r w:rsidRPr="007F2D82">
        <w:rPr>
          <w:rFonts w:asciiTheme="majorBidi" w:hAnsiTheme="majorBidi" w:cstheme="majorBidi"/>
          <w:bCs/>
          <w:sz w:val="20"/>
          <w:szCs w:val="20"/>
        </w:rPr>
        <w:t xml:space="preserve"> </w:t>
      </w:r>
      <w:proofErr w:type="gramStart"/>
      <w:r w:rsidRPr="007F2D82">
        <w:rPr>
          <w:rFonts w:asciiTheme="majorBidi" w:hAnsiTheme="majorBidi" w:cstheme="majorBidi"/>
          <w:bCs/>
          <w:sz w:val="20"/>
          <w:szCs w:val="20"/>
        </w:rPr>
        <w:t>,</w:t>
      </w:r>
      <w:proofErr w:type="gramEnd"/>
      <w:r w:rsidRPr="00FE1657">
        <w:rPr>
          <w:rFonts w:asciiTheme="majorBidi" w:hAnsiTheme="majorBidi" w:cstheme="majorBidi"/>
          <w:b/>
          <w:sz w:val="20"/>
          <w:szCs w:val="20"/>
        </w:rPr>
        <w:t xml:space="preserve"> growth and division of some unicellular blue-green algae</w:t>
      </w:r>
      <w:r w:rsidRPr="007F2D82">
        <w:rPr>
          <w:rFonts w:asciiTheme="majorBidi" w:hAnsiTheme="majorBidi" w:cstheme="majorBidi"/>
          <w:bCs/>
          <w:sz w:val="20"/>
          <w:szCs w:val="20"/>
        </w:rPr>
        <w:t xml:space="preserve"> ,</w:t>
      </w:r>
      <w:r w:rsidRPr="007F2D82">
        <w:rPr>
          <w:rFonts w:asciiTheme="majorBidi" w:hAnsiTheme="majorBidi" w:cstheme="majorBidi"/>
          <w:bCs/>
          <w:i/>
          <w:iCs/>
          <w:sz w:val="20"/>
          <w:szCs w:val="20"/>
        </w:rPr>
        <w:t xml:space="preserve"> j. Gen.  Microbiol</w:t>
      </w:r>
      <w:r w:rsidRPr="007F2D82">
        <w:rPr>
          <w:rFonts w:asciiTheme="majorBidi" w:hAnsiTheme="majorBidi" w:cstheme="majorBidi"/>
          <w:bCs/>
          <w:sz w:val="20"/>
          <w:szCs w:val="20"/>
        </w:rPr>
        <w:t>51</w:t>
      </w:r>
      <w:r w:rsidRPr="007F2D82">
        <w:rPr>
          <w:rFonts w:asciiTheme="majorBidi" w:hAnsiTheme="majorBidi" w:cstheme="majorBidi"/>
          <w:bCs/>
          <w:i/>
          <w:iCs/>
          <w:sz w:val="20"/>
          <w:szCs w:val="20"/>
        </w:rPr>
        <w:t xml:space="preserve">.  Department of bacteriology and immunology, university of </w:t>
      </w:r>
      <w:proofErr w:type="spellStart"/>
      <w:r w:rsidRPr="007F2D82">
        <w:rPr>
          <w:rFonts w:asciiTheme="majorBidi" w:hAnsiTheme="majorBidi" w:cstheme="majorBidi"/>
          <w:bCs/>
          <w:i/>
          <w:iCs/>
          <w:sz w:val="20"/>
          <w:szCs w:val="20"/>
        </w:rPr>
        <w:t>california</w:t>
      </w:r>
      <w:proofErr w:type="spellEnd"/>
      <w:proofErr w:type="gramStart"/>
      <w:r w:rsidRPr="007F2D82">
        <w:rPr>
          <w:rFonts w:asciiTheme="majorBidi" w:hAnsiTheme="majorBidi" w:cstheme="majorBidi"/>
          <w:bCs/>
          <w:i/>
          <w:iCs/>
          <w:sz w:val="20"/>
          <w:szCs w:val="20"/>
        </w:rPr>
        <w:t xml:space="preserve">,  </w:t>
      </w:r>
      <w:proofErr w:type="spellStart"/>
      <w:r w:rsidRPr="007F2D82">
        <w:rPr>
          <w:rFonts w:asciiTheme="majorBidi" w:hAnsiTheme="majorBidi" w:cstheme="majorBidi"/>
          <w:bCs/>
          <w:i/>
          <w:iCs/>
          <w:sz w:val="20"/>
          <w:szCs w:val="20"/>
        </w:rPr>
        <w:t>berkeley</w:t>
      </w:r>
      <w:proofErr w:type="spellEnd"/>
      <w:proofErr w:type="gramEnd"/>
      <w:r w:rsidRPr="007F2D82">
        <w:rPr>
          <w:rFonts w:asciiTheme="majorBidi" w:hAnsiTheme="majorBidi" w:cstheme="majorBidi"/>
          <w:bCs/>
          <w:i/>
          <w:iCs/>
          <w:sz w:val="20"/>
          <w:szCs w:val="20"/>
        </w:rPr>
        <w:t xml:space="preserve">, </w:t>
      </w:r>
      <w:proofErr w:type="spellStart"/>
      <w:r w:rsidRPr="007F2D82">
        <w:rPr>
          <w:rFonts w:asciiTheme="majorBidi" w:hAnsiTheme="majorBidi" w:cstheme="majorBidi"/>
          <w:bCs/>
          <w:i/>
          <w:iCs/>
          <w:sz w:val="20"/>
          <w:szCs w:val="20"/>
        </w:rPr>
        <w:t>california</w:t>
      </w:r>
      <w:proofErr w:type="spellEnd"/>
      <w:r w:rsidRPr="007F2D82">
        <w:rPr>
          <w:rFonts w:asciiTheme="majorBidi" w:hAnsiTheme="majorBidi" w:cstheme="majorBidi"/>
          <w:bCs/>
          <w:i/>
          <w:iCs/>
          <w:sz w:val="20"/>
          <w:szCs w:val="20"/>
        </w:rPr>
        <w:t xml:space="preserve">, </w:t>
      </w:r>
      <w:proofErr w:type="spellStart"/>
      <w:r w:rsidRPr="007F2D82">
        <w:rPr>
          <w:rFonts w:asciiTheme="majorBidi" w:hAnsiTheme="majorBidi" w:cstheme="majorBidi"/>
          <w:bCs/>
          <w:i/>
          <w:iCs/>
          <w:sz w:val="20"/>
          <w:szCs w:val="20"/>
        </w:rPr>
        <w:t>u.s.a.</w:t>
      </w:r>
      <w:proofErr w:type="spellEnd"/>
      <w:r w:rsidRPr="007F2D82">
        <w:rPr>
          <w:rFonts w:asciiTheme="majorBidi" w:hAnsiTheme="majorBidi" w:cstheme="majorBidi"/>
          <w:bCs/>
          <w:i/>
          <w:iCs/>
          <w:sz w:val="20"/>
          <w:szCs w:val="20"/>
        </w:rPr>
        <w:t xml:space="preserve">   </w:t>
      </w:r>
      <w:r>
        <w:rPr>
          <w:rFonts w:asciiTheme="majorBidi" w:hAnsiTheme="majorBidi" w:cstheme="majorBidi"/>
          <w:bCs/>
          <w:sz w:val="20"/>
          <w:szCs w:val="20"/>
        </w:rPr>
        <w:t>(1968)</w:t>
      </w:r>
      <w:r w:rsidRPr="007F2D82">
        <w:rPr>
          <w:rFonts w:asciiTheme="majorBidi" w:hAnsiTheme="majorBidi" w:cstheme="majorBidi"/>
          <w:bCs/>
          <w:sz w:val="20"/>
          <w:szCs w:val="20"/>
        </w:rPr>
        <w:t>, 199-202</w:t>
      </w:r>
    </w:p>
    <w:p w:rsidR="00205F1E" w:rsidRPr="00ED4411" w:rsidRDefault="00205F1E" w:rsidP="00205F1E">
      <w:pPr>
        <w:autoSpaceDE w:val="0"/>
        <w:autoSpaceDN w:val="0"/>
        <w:bidi w:val="0"/>
        <w:adjustRightInd w:val="0"/>
        <w:spacing w:after="0" w:line="240" w:lineRule="auto"/>
        <w:jc w:val="both"/>
        <w:rPr>
          <w:rFonts w:ascii="Bodoni MT" w:eastAsia="Times New Roman" w:hAnsi="Bodoni MT" w:cs="Times New Roman"/>
          <w:sz w:val="24"/>
          <w:szCs w:val="24"/>
          <w:lang w:bidi="ar-DZ"/>
        </w:rPr>
      </w:pPr>
      <w:r w:rsidRPr="007F2D82">
        <w:rPr>
          <w:rFonts w:asciiTheme="majorBidi" w:eastAsia="Times New Roman" w:hAnsiTheme="majorBidi" w:cstheme="majorBidi"/>
          <w:bCs/>
          <w:sz w:val="20"/>
          <w:szCs w:val="20"/>
          <w:lang w:bidi="ar-DZ"/>
        </w:rPr>
        <w:t>2-</w:t>
      </w:r>
      <w:r w:rsidRPr="007F2D82">
        <w:rPr>
          <w:rFonts w:asciiTheme="majorBidi" w:hAnsiTheme="majorBidi" w:cstheme="majorBidi"/>
          <w:bCs/>
          <w:sz w:val="20"/>
          <w:szCs w:val="20"/>
        </w:rPr>
        <w:t xml:space="preserve"> </w:t>
      </w:r>
      <w:hyperlink r:id="rId13" w:history="1">
        <w:proofErr w:type="spellStart"/>
        <w:r w:rsidRPr="00FE1657">
          <w:rPr>
            <w:rFonts w:asciiTheme="majorBidi" w:hAnsiTheme="majorBidi" w:cstheme="majorBidi"/>
            <w:bCs/>
            <w:sz w:val="20"/>
            <w:szCs w:val="20"/>
          </w:rPr>
          <w:t>stanier</w:t>
        </w:r>
        <w:proofErr w:type="spellEnd"/>
        <w:r w:rsidRPr="00FE1657">
          <w:rPr>
            <w:rFonts w:asciiTheme="majorBidi" w:hAnsiTheme="majorBidi" w:cstheme="majorBidi"/>
            <w:bCs/>
            <w:sz w:val="20"/>
            <w:szCs w:val="20"/>
          </w:rPr>
          <w:t xml:space="preserve"> </w:t>
        </w:r>
        <w:proofErr w:type="spellStart"/>
        <w:r w:rsidRPr="00FE1657">
          <w:rPr>
            <w:rFonts w:asciiTheme="majorBidi" w:hAnsiTheme="majorBidi" w:cstheme="majorBidi"/>
            <w:bCs/>
            <w:sz w:val="20"/>
            <w:szCs w:val="20"/>
          </w:rPr>
          <w:t>ry</w:t>
        </w:r>
        <w:proofErr w:type="spellEnd"/>
      </w:hyperlink>
      <w:r w:rsidRPr="00FE1657">
        <w:rPr>
          <w:rFonts w:asciiTheme="majorBidi" w:hAnsiTheme="majorBidi" w:cstheme="majorBidi"/>
          <w:bCs/>
          <w:sz w:val="20"/>
          <w:szCs w:val="20"/>
        </w:rPr>
        <w:t xml:space="preserve">, </w:t>
      </w:r>
      <w:hyperlink r:id="rId14" w:history="1">
        <w:proofErr w:type="spellStart"/>
        <w:r w:rsidRPr="00FE1657">
          <w:rPr>
            <w:rFonts w:asciiTheme="majorBidi" w:hAnsiTheme="majorBidi" w:cstheme="majorBidi"/>
            <w:bCs/>
            <w:sz w:val="20"/>
            <w:szCs w:val="20"/>
          </w:rPr>
          <w:t>kunisawa</w:t>
        </w:r>
        <w:proofErr w:type="spellEnd"/>
        <w:r w:rsidRPr="00FE1657">
          <w:rPr>
            <w:rFonts w:asciiTheme="majorBidi" w:hAnsiTheme="majorBidi" w:cstheme="majorBidi"/>
            <w:bCs/>
            <w:sz w:val="20"/>
            <w:szCs w:val="20"/>
          </w:rPr>
          <w:t xml:space="preserve"> r</w:t>
        </w:r>
      </w:hyperlink>
      <w:r w:rsidRPr="00FE1657">
        <w:rPr>
          <w:rFonts w:asciiTheme="majorBidi" w:hAnsiTheme="majorBidi" w:cstheme="majorBidi"/>
          <w:bCs/>
          <w:sz w:val="20"/>
          <w:szCs w:val="20"/>
        </w:rPr>
        <w:t xml:space="preserve">, </w:t>
      </w:r>
      <w:hyperlink r:id="rId15" w:history="1">
        <w:proofErr w:type="spellStart"/>
        <w:r w:rsidRPr="00FE1657">
          <w:rPr>
            <w:rFonts w:asciiTheme="majorBidi" w:hAnsiTheme="majorBidi" w:cstheme="majorBidi"/>
            <w:bCs/>
            <w:sz w:val="20"/>
            <w:szCs w:val="20"/>
          </w:rPr>
          <w:t>mandel</w:t>
        </w:r>
        <w:proofErr w:type="spellEnd"/>
        <w:r w:rsidRPr="00FE1657">
          <w:rPr>
            <w:rFonts w:asciiTheme="majorBidi" w:hAnsiTheme="majorBidi" w:cstheme="majorBidi"/>
            <w:bCs/>
            <w:sz w:val="20"/>
            <w:szCs w:val="20"/>
          </w:rPr>
          <w:t xml:space="preserve"> m</w:t>
        </w:r>
      </w:hyperlink>
      <w:r w:rsidRPr="00FE1657">
        <w:rPr>
          <w:rFonts w:asciiTheme="majorBidi" w:hAnsiTheme="majorBidi" w:cstheme="majorBidi"/>
          <w:bCs/>
          <w:sz w:val="20"/>
          <w:szCs w:val="20"/>
        </w:rPr>
        <w:t xml:space="preserve">, </w:t>
      </w:r>
      <w:hyperlink r:id="rId16" w:history="1">
        <w:proofErr w:type="spellStart"/>
        <w:r w:rsidRPr="00FE1657">
          <w:rPr>
            <w:rFonts w:asciiTheme="majorBidi" w:hAnsiTheme="majorBidi" w:cstheme="majorBidi"/>
            <w:bCs/>
            <w:sz w:val="20"/>
            <w:szCs w:val="20"/>
          </w:rPr>
          <w:t>cohen-bazire</w:t>
        </w:r>
        <w:proofErr w:type="spellEnd"/>
        <w:r w:rsidRPr="00FE1657">
          <w:rPr>
            <w:rFonts w:asciiTheme="majorBidi" w:hAnsiTheme="majorBidi" w:cstheme="majorBidi"/>
            <w:bCs/>
            <w:sz w:val="20"/>
            <w:szCs w:val="20"/>
          </w:rPr>
          <w:t xml:space="preserve"> g</w:t>
        </w:r>
      </w:hyperlink>
      <w:r w:rsidRPr="00FE1657">
        <w:rPr>
          <w:rFonts w:asciiTheme="majorBidi" w:hAnsiTheme="majorBidi" w:cstheme="majorBidi"/>
          <w:bCs/>
          <w:sz w:val="20"/>
          <w:szCs w:val="20"/>
        </w:rPr>
        <w:t>.</w:t>
      </w:r>
      <w:r w:rsidRPr="00FE1657">
        <w:rPr>
          <w:rFonts w:asciiTheme="majorBidi" w:eastAsia="Times New Roman" w:hAnsiTheme="majorBidi" w:cstheme="majorBidi"/>
          <w:bCs/>
          <w:kern w:val="36"/>
          <w:sz w:val="20"/>
          <w:szCs w:val="20"/>
          <w:lang w:eastAsia="fr-FR"/>
        </w:rPr>
        <w:t xml:space="preserve"> </w:t>
      </w:r>
      <w:r w:rsidRPr="00FE1657">
        <w:rPr>
          <w:rFonts w:asciiTheme="majorBidi" w:eastAsia="Times New Roman" w:hAnsiTheme="majorBidi" w:cstheme="majorBidi"/>
          <w:b/>
          <w:kern w:val="36"/>
          <w:sz w:val="20"/>
          <w:szCs w:val="20"/>
          <w:lang w:eastAsia="fr-FR"/>
        </w:rPr>
        <w:t xml:space="preserve">Purification and properties of unicellular blue-green algae (order </w:t>
      </w:r>
      <w:proofErr w:type="spellStart"/>
      <w:r w:rsidRPr="00FE1657">
        <w:rPr>
          <w:rFonts w:asciiTheme="majorBidi" w:eastAsia="Times New Roman" w:hAnsiTheme="majorBidi" w:cstheme="majorBidi"/>
          <w:b/>
          <w:kern w:val="36"/>
          <w:sz w:val="20"/>
          <w:szCs w:val="20"/>
          <w:lang w:eastAsia="fr-FR"/>
        </w:rPr>
        <w:t>chroococcales</w:t>
      </w:r>
      <w:proofErr w:type="spellEnd"/>
      <w:r w:rsidRPr="00FE1657">
        <w:rPr>
          <w:rFonts w:asciiTheme="majorBidi" w:eastAsia="Times New Roman" w:hAnsiTheme="majorBidi" w:cstheme="majorBidi"/>
          <w:b/>
          <w:kern w:val="36"/>
          <w:sz w:val="20"/>
          <w:szCs w:val="20"/>
          <w:lang w:eastAsia="fr-FR"/>
        </w:rPr>
        <w:t>)</w:t>
      </w:r>
      <w:r w:rsidRPr="00FE1657">
        <w:rPr>
          <w:rFonts w:asciiTheme="majorBidi" w:eastAsia="Times New Roman" w:hAnsiTheme="majorBidi" w:cstheme="majorBidi"/>
          <w:bCs/>
          <w:kern w:val="36"/>
          <w:sz w:val="20"/>
          <w:szCs w:val="20"/>
          <w:lang w:eastAsia="fr-FR"/>
        </w:rPr>
        <w:t>.</w:t>
      </w:r>
      <w:r w:rsidRPr="00FE1657">
        <w:rPr>
          <w:rFonts w:asciiTheme="majorBidi" w:hAnsiTheme="majorBidi" w:cstheme="majorBidi"/>
          <w:sz w:val="20"/>
          <w:szCs w:val="20"/>
        </w:rPr>
        <w:t xml:space="preserve"> </w:t>
      </w:r>
      <w:hyperlink r:id="rId17" w:tooltip="Bacteriological reviews." w:history="1">
        <w:proofErr w:type="spellStart"/>
        <w:r w:rsidRPr="00FE1657">
          <w:rPr>
            <w:rFonts w:asciiTheme="majorBidi" w:hAnsiTheme="majorBidi" w:cstheme="majorBidi"/>
            <w:sz w:val="20"/>
            <w:szCs w:val="20"/>
          </w:rPr>
          <w:t>Bacteriol</w:t>
        </w:r>
        <w:proofErr w:type="spellEnd"/>
        <w:r w:rsidRPr="00FE1657">
          <w:rPr>
            <w:rFonts w:asciiTheme="majorBidi" w:hAnsiTheme="majorBidi" w:cstheme="majorBidi"/>
            <w:sz w:val="20"/>
            <w:szCs w:val="20"/>
          </w:rPr>
          <w:t xml:space="preserve"> Rev.</w:t>
        </w:r>
      </w:hyperlink>
      <w:r w:rsidRPr="00FE1657">
        <w:rPr>
          <w:rFonts w:asciiTheme="majorBidi" w:hAnsiTheme="majorBidi" w:cstheme="majorBidi"/>
          <w:sz w:val="20"/>
          <w:szCs w:val="20"/>
        </w:rPr>
        <w:t xml:space="preserve"> 1971 Jun</w:t>
      </w:r>
      <w:proofErr w:type="gramStart"/>
      <w:r w:rsidRPr="00FE1657">
        <w:rPr>
          <w:rFonts w:asciiTheme="majorBidi" w:hAnsiTheme="majorBidi" w:cstheme="majorBidi"/>
          <w:sz w:val="20"/>
          <w:szCs w:val="20"/>
        </w:rPr>
        <w:t>;35</w:t>
      </w:r>
      <w:proofErr w:type="gramEnd"/>
      <w:r w:rsidRPr="00FE1657">
        <w:rPr>
          <w:rFonts w:asciiTheme="majorBidi" w:hAnsiTheme="majorBidi" w:cstheme="majorBidi"/>
          <w:sz w:val="20"/>
          <w:szCs w:val="20"/>
        </w:rPr>
        <w:t>(2):171-205</w:t>
      </w:r>
      <w:r w:rsidRPr="007F2D82">
        <w:rPr>
          <w:rFonts w:asciiTheme="majorBidi" w:hAnsiTheme="majorBidi" w:cstheme="majorBidi"/>
          <w:sz w:val="20"/>
          <w:szCs w:val="20"/>
        </w:rPr>
        <w:t>.</w:t>
      </w:r>
    </w:p>
    <w:p w:rsidR="00DC7B91" w:rsidRDefault="00DC7B91"/>
    <w:sectPr w:rsidR="00DC7B91" w:rsidSect="00E32A05">
      <w:headerReference w:type="default" r:id="rId18"/>
      <w:pgSz w:w="11906" w:h="16838"/>
      <w:pgMar w:top="1417" w:right="70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49CD" w:rsidRDefault="00A449CD" w:rsidP="00205F1E">
      <w:pPr>
        <w:spacing w:after="0" w:line="240" w:lineRule="auto"/>
      </w:pPr>
      <w:r>
        <w:separator/>
      </w:r>
    </w:p>
  </w:endnote>
  <w:endnote w:type="continuationSeparator" w:id="0">
    <w:p w:rsidR="00A449CD" w:rsidRDefault="00A449CD" w:rsidP="00205F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2EFF" w:usb1="C0007843" w:usb2="00000009" w:usb3="00000000" w:csb0="000001FF" w:csb1="00000000"/>
  </w:font>
  <w:font w:name="Bodoni MT">
    <w:panose1 w:val="02070603080606020203"/>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49CD" w:rsidRDefault="00A449CD" w:rsidP="00205F1E">
      <w:pPr>
        <w:spacing w:after="0" w:line="240" w:lineRule="auto"/>
      </w:pPr>
      <w:r>
        <w:separator/>
      </w:r>
    </w:p>
  </w:footnote>
  <w:footnote w:type="continuationSeparator" w:id="0">
    <w:p w:rsidR="00A449CD" w:rsidRDefault="00A449CD" w:rsidP="00205F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F1E" w:rsidRPr="008930EF" w:rsidRDefault="00205F1E" w:rsidP="00205F1E">
    <w:pPr>
      <w:pStyle w:val="Corpsdetexte"/>
      <w:bidi w:val="0"/>
      <w:spacing w:after="0"/>
      <w:jc w:val="center"/>
      <w:rPr>
        <w:rFonts w:ascii="Bodoni MT" w:hAnsi="Bodoni MT"/>
        <w:b/>
      </w:rPr>
    </w:pPr>
    <w:r w:rsidRPr="008930EF">
      <w:rPr>
        <w:rFonts w:cs="Arial" w:hint="cs"/>
        <w:noProof/>
        <w:rtl/>
        <w:lang w:eastAsia="fr-FR"/>
      </w:rPr>
      <w:drawing>
        <wp:anchor distT="0" distB="0" distL="114300" distR="114300" simplePos="0" relativeHeight="251659264" behindDoc="0" locked="0" layoutInCell="1" allowOverlap="1" wp14:anchorId="05271807" wp14:editId="47D179BE">
          <wp:simplePos x="0" y="0"/>
          <wp:positionH relativeFrom="column">
            <wp:posOffset>-729615</wp:posOffset>
          </wp:positionH>
          <wp:positionV relativeFrom="paragraph">
            <wp:posOffset>-201930</wp:posOffset>
          </wp:positionV>
          <wp:extent cx="1014730" cy="1056640"/>
          <wp:effectExtent l="0" t="0" r="0" b="0"/>
          <wp:wrapNone/>
          <wp:docPr id="11"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3"/>
                  <pic:cNvPicPr>
                    <a:picLocks noChangeAspect="1" noChangeArrowheads="1"/>
                  </pic:cNvPicPr>
                </pic:nvPicPr>
                <pic:blipFill>
                  <a:blip r:embed="rId1"/>
                  <a:srcRect t="26514" r="84183"/>
                  <a:stretch>
                    <a:fillRect/>
                  </a:stretch>
                </pic:blipFill>
                <pic:spPr bwMode="auto">
                  <a:xfrm>
                    <a:off x="0" y="0"/>
                    <a:ext cx="1014730" cy="1056640"/>
                  </a:xfrm>
                  <a:prstGeom prst="rect">
                    <a:avLst/>
                  </a:prstGeom>
                  <a:noFill/>
                  <a:ln w="9525">
                    <a:noFill/>
                    <a:miter lim="800000"/>
                    <a:headEnd/>
                    <a:tailEnd/>
                  </a:ln>
                </pic:spPr>
              </pic:pic>
            </a:graphicData>
          </a:graphic>
        </wp:anchor>
      </w:drawing>
    </w:r>
    <w:r w:rsidRPr="008930EF">
      <w:rPr>
        <w:rFonts w:cs="Arial" w:hint="cs"/>
        <w:noProof/>
        <w:rtl/>
        <w:lang w:eastAsia="fr-FR"/>
      </w:rPr>
      <w:drawing>
        <wp:anchor distT="0" distB="0" distL="114300" distR="114300" simplePos="0" relativeHeight="251660288" behindDoc="0" locked="0" layoutInCell="1" allowOverlap="1" wp14:anchorId="474CA61A" wp14:editId="628D0830">
          <wp:simplePos x="0" y="0"/>
          <wp:positionH relativeFrom="column">
            <wp:posOffset>5438140</wp:posOffset>
          </wp:positionH>
          <wp:positionV relativeFrom="paragraph">
            <wp:posOffset>-249555</wp:posOffset>
          </wp:positionV>
          <wp:extent cx="1014730" cy="1056640"/>
          <wp:effectExtent l="0" t="0" r="0" b="0"/>
          <wp:wrapNone/>
          <wp:docPr id="12"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3"/>
                  <pic:cNvPicPr>
                    <a:picLocks noChangeAspect="1" noChangeArrowheads="1"/>
                  </pic:cNvPicPr>
                </pic:nvPicPr>
                <pic:blipFill>
                  <a:blip r:embed="rId1"/>
                  <a:srcRect t="26514" r="84183"/>
                  <a:stretch>
                    <a:fillRect/>
                  </a:stretch>
                </pic:blipFill>
                <pic:spPr bwMode="auto">
                  <a:xfrm>
                    <a:off x="0" y="0"/>
                    <a:ext cx="1014730" cy="1056640"/>
                  </a:xfrm>
                  <a:prstGeom prst="rect">
                    <a:avLst/>
                  </a:prstGeom>
                  <a:noFill/>
                  <a:ln w="9525">
                    <a:noFill/>
                    <a:miter lim="800000"/>
                    <a:headEnd/>
                    <a:tailEnd/>
                  </a:ln>
                </pic:spPr>
              </pic:pic>
            </a:graphicData>
          </a:graphic>
        </wp:anchor>
      </w:drawing>
    </w:r>
    <w:r w:rsidRPr="008930EF">
      <w:rPr>
        <w:rFonts w:ascii="Bodoni MT" w:hAnsi="Bodoni MT"/>
        <w:b/>
      </w:rPr>
      <w:t>REPUBLIQUE ALGERIENNE DEMOCRATTQUE POPULAIRE</w:t>
    </w:r>
  </w:p>
  <w:p w:rsidR="00205F1E" w:rsidRPr="008930EF" w:rsidRDefault="00205F1E" w:rsidP="00205F1E">
    <w:pPr>
      <w:pStyle w:val="Corpsdetexte"/>
      <w:bidi w:val="0"/>
      <w:spacing w:after="0"/>
      <w:jc w:val="center"/>
      <w:rPr>
        <w:rFonts w:ascii="Bodoni MT" w:hAnsi="Bodoni MT"/>
        <w:b/>
      </w:rPr>
    </w:pPr>
    <w:r w:rsidRPr="008930EF">
      <w:rPr>
        <w:rFonts w:ascii="Bodoni MT" w:hAnsi="Bodoni MT"/>
        <w:b/>
      </w:rPr>
      <w:t>Université Kasdi MERBAH Ouargla</w:t>
    </w:r>
  </w:p>
  <w:p w:rsidR="00205F1E" w:rsidRPr="008930EF" w:rsidRDefault="00205F1E" w:rsidP="00205F1E">
    <w:pPr>
      <w:pStyle w:val="Corpsdetexte"/>
      <w:tabs>
        <w:tab w:val="right" w:pos="709"/>
      </w:tabs>
      <w:bidi w:val="0"/>
      <w:spacing w:after="0"/>
      <w:ind w:firstLine="851"/>
      <w:jc w:val="center"/>
      <w:rPr>
        <w:rFonts w:ascii="Bodoni MT" w:hAnsi="Bodoni MT"/>
        <w:b/>
      </w:rPr>
    </w:pPr>
    <w:r w:rsidRPr="008930EF">
      <w:rPr>
        <w:rFonts w:ascii="Bodoni MT" w:hAnsi="Bodoni MT"/>
        <w:b/>
      </w:rPr>
      <w:t>Faculté des Sciences appliqués</w:t>
    </w:r>
  </w:p>
  <w:p w:rsidR="00205F1E" w:rsidRPr="008930EF" w:rsidRDefault="00205F1E" w:rsidP="00205F1E">
    <w:pPr>
      <w:pStyle w:val="Corpsdetexte"/>
      <w:bidi w:val="0"/>
      <w:spacing w:after="0"/>
      <w:jc w:val="center"/>
      <w:rPr>
        <w:rFonts w:ascii="Bodoni MT" w:hAnsi="Bodoni MT"/>
        <w:b/>
      </w:rPr>
    </w:pPr>
    <w:r w:rsidRPr="008930EF">
      <w:rPr>
        <w:rFonts w:ascii="Bodoni MT" w:hAnsi="Bodoni MT"/>
        <w:b/>
      </w:rPr>
      <w:t>Département De génie des procédés</w:t>
    </w:r>
  </w:p>
  <w:p w:rsidR="00205F1E" w:rsidRPr="00205F1E" w:rsidRDefault="00205F1E" w:rsidP="00205F1E">
    <w:pPr>
      <w:tabs>
        <w:tab w:val="left" w:pos="9496"/>
      </w:tabs>
      <w:bidi w:val="0"/>
      <w:spacing w:after="0" w:line="240" w:lineRule="auto"/>
      <w:jc w:val="center"/>
      <w:rPr>
        <w:rFonts w:cs="Times New Roman"/>
        <w:b/>
        <w:color w:val="000000"/>
        <w:sz w:val="24"/>
        <w:szCs w:val="24"/>
        <w:lang w:val="fr-FR" w:eastAsia="ar-SA"/>
      </w:rPr>
    </w:pPr>
    <w:r w:rsidRPr="008930EF">
      <w:rPr>
        <w:rFonts w:cs="Times New Roman"/>
        <w:b/>
        <w:color w:val="000000"/>
        <w:sz w:val="24"/>
        <w:szCs w:val="24"/>
        <w:lang w:val="fr-FR" w:eastAsia="ar-SA"/>
      </w:rPr>
      <w:t xml:space="preserve">2 </w:t>
    </w:r>
    <w:r w:rsidRPr="008930EF">
      <w:rPr>
        <w:rFonts w:cs="Times New Roman"/>
        <w:b/>
        <w:color w:val="000000"/>
        <w:sz w:val="24"/>
        <w:szCs w:val="24"/>
        <w:vertAlign w:val="superscript"/>
        <w:lang w:val="fr-FR" w:eastAsia="ar-SA"/>
      </w:rPr>
      <w:t>eme</w:t>
    </w:r>
    <w:r w:rsidRPr="008930EF">
      <w:rPr>
        <w:rFonts w:cs="Times New Roman"/>
        <w:b/>
        <w:color w:val="000000"/>
        <w:sz w:val="24"/>
        <w:szCs w:val="24"/>
        <w:lang w:val="fr-FR" w:eastAsia="ar-SA"/>
      </w:rPr>
      <w:t xml:space="preserve"> année master </w:t>
    </w:r>
    <w:r w:rsidRPr="008930EF">
      <w:rPr>
        <w:b/>
        <w:color w:val="000000"/>
        <w:sz w:val="24"/>
        <w:szCs w:val="24"/>
        <w:lang w:val="fr-FR"/>
      </w:rPr>
      <w:t>génie</w:t>
    </w:r>
    <w:r w:rsidRPr="008930EF">
      <w:rPr>
        <w:rFonts w:cs="Times New Roman"/>
        <w:b/>
        <w:color w:val="000000"/>
        <w:sz w:val="24"/>
        <w:szCs w:val="24"/>
        <w:lang w:val="fr-FR" w:eastAsia="ar-SA"/>
      </w:rPr>
      <w:t xml:space="preserve"> des gaz naturel  </w:t>
    </w:r>
  </w:p>
  <w:p w:rsidR="00205F1E" w:rsidRPr="00205F1E" w:rsidRDefault="00205F1E" w:rsidP="00205F1E">
    <w:pPr>
      <w:pStyle w:val="En-tte"/>
      <w:jc w:val="center"/>
      <w:rPr>
        <w:lang w:val="fr-F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4789"/>
    <w:rsid w:val="00205F1E"/>
    <w:rsid w:val="004A4789"/>
    <w:rsid w:val="00A449CD"/>
    <w:rsid w:val="00BC5675"/>
    <w:rsid w:val="00DC7B91"/>
    <w:rsid w:val="00E32A05"/>
    <w:rsid w:val="00FE165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B15167-8022-4A16-B250-51DBEF1ED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F1E"/>
    <w:pPr>
      <w:bidi/>
      <w:spacing w:after="200" w:line="276" w:lineRule="auto"/>
    </w:pPr>
    <w:rPr>
      <w:lang w:val="en-US"/>
    </w:rPr>
  </w:style>
  <w:style w:type="paragraph" w:styleId="Titre1">
    <w:name w:val="heading 1"/>
    <w:basedOn w:val="Normal"/>
    <w:next w:val="Normal"/>
    <w:link w:val="Titre1Car"/>
    <w:uiPriority w:val="9"/>
    <w:qFormat/>
    <w:rsid w:val="00205F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05F1E"/>
    <w:rPr>
      <w:rFonts w:asciiTheme="majorHAnsi" w:eastAsiaTheme="majorEastAsia" w:hAnsiTheme="majorHAnsi" w:cstheme="majorBidi"/>
      <w:color w:val="2E74B5" w:themeColor="accent1" w:themeShade="BF"/>
      <w:sz w:val="32"/>
      <w:szCs w:val="32"/>
      <w:lang w:val="en-US"/>
    </w:rPr>
  </w:style>
  <w:style w:type="character" w:styleId="Lienhypertexte">
    <w:name w:val="Hyperlink"/>
    <w:basedOn w:val="Policepardfaut"/>
    <w:uiPriority w:val="99"/>
    <w:unhideWhenUsed/>
    <w:rsid w:val="00205F1E"/>
    <w:rPr>
      <w:color w:val="0563C1" w:themeColor="hyperlink"/>
      <w:u w:val="single"/>
    </w:rPr>
  </w:style>
  <w:style w:type="paragraph" w:styleId="Paragraphedeliste">
    <w:name w:val="List Paragraph"/>
    <w:basedOn w:val="Normal"/>
    <w:uiPriority w:val="34"/>
    <w:qFormat/>
    <w:rsid w:val="00205F1E"/>
    <w:pPr>
      <w:ind w:left="720"/>
      <w:contextualSpacing/>
    </w:pPr>
  </w:style>
  <w:style w:type="paragraph" w:styleId="En-tte">
    <w:name w:val="header"/>
    <w:basedOn w:val="Normal"/>
    <w:link w:val="En-tteCar"/>
    <w:uiPriority w:val="99"/>
    <w:unhideWhenUsed/>
    <w:rsid w:val="00205F1E"/>
    <w:pPr>
      <w:tabs>
        <w:tab w:val="center" w:pos="4536"/>
        <w:tab w:val="right" w:pos="9072"/>
      </w:tabs>
      <w:spacing w:after="0" w:line="240" w:lineRule="auto"/>
    </w:pPr>
  </w:style>
  <w:style w:type="character" w:customStyle="1" w:styleId="En-tteCar">
    <w:name w:val="En-tête Car"/>
    <w:basedOn w:val="Policepardfaut"/>
    <w:link w:val="En-tte"/>
    <w:uiPriority w:val="99"/>
    <w:rsid w:val="00205F1E"/>
    <w:rPr>
      <w:lang w:val="en-US"/>
    </w:rPr>
  </w:style>
  <w:style w:type="paragraph" w:styleId="Pieddepage">
    <w:name w:val="footer"/>
    <w:basedOn w:val="Normal"/>
    <w:link w:val="PieddepageCar"/>
    <w:uiPriority w:val="99"/>
    <w:unhideWhenUsed/>
    <w:rsid w:val="00205F1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05F1E"/>
    <w:rPr>
      <w:lang w:val="en-US"/>
    </w:rPr>
  </w:style>
  <w:style w:type="paragraph" w:styleId="Corpsdetexte">
    <w:name w:val="Body Text"/>
    <w:basedOn w:val="Normal"/>
    <w:link w:val="CorpsdetexteCar"/>
    <w:rsid w:val="00205F1E"/>
    <w:pPr>
      <w:spacing w:after="120" w:line="240" w:lineRule="auto"/>
    </w:pPr>
    <w:rPr>
      <w:rFonts w:ascii="Times New Roman" w:eastAsia="Times New Roman" w:hAnsi="Times New Roman" w:cs="Times New Roman"/>
      <w:sz w:val="24"/>
      <w:szCs w:val="24"/>
      <w:lang w:val="fr-FR"/>
    </w:rPr>
  </w:style>
  <w:style w:type="character" w:customStyle="1" w:styleId="CorpsdetexteCar">
    <w:name w:val="Corps de texte Car"/>
    <w:basedOn w:val="Policepardfaut"/>
    <w:link w:val="Corpsdetexte"/>
    <w:rsid w:val="00205F1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r.wikipedia.org/wiki/Cycle_de_vie_(biologie)" TargetMode="External"/><Relationship Id="rId13" Type="http://schemas.openxmlformats.org/officeDocument/2006/relationships/hyperlink" Target="http://www.ncbi.nlm.nih.gov/pubmed/?term=Stanier%20RY%5BAuthor%5D&amp;cauthor=true&amp;cauthor_uid=4998365" TargetMode="External"/><Relationship Id="rId1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fr.wikipedia.org/wiki/Photosynth%C3%A8se" TargetMode="External"/><Relationship Id="rId12" Type="http://schemas.openxmlformats.org/officeDocument/2006/relationships/image" Target="media/image1.png"/><Relationship Id="rId17" Type="http://schemas.openxmlformats.org/officeDocument/2006/relationships/hyperlink" Target="http://www.ncbi.nlm.nih.gov/pubmed/4998365" TargetMode="External"/><Relationship Id="rId2" Type="http://schemas.openxmlformats.org/officeDocument/2006/relationships/settings" Target="settings.xml"/><Relationship Id="rId16" Type="http://schemas.openxmlformats.org/officeDocument/2006/relationships/hyperlink" Target="http://www.ncbi.nlm.nih.gov/pubmed/?term=Cohen-Bazire%20G%5BAuthor%5D&amp;cauthor=true&amp;cauthor_uid=4998365"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azoue83@yahoo.com." TargetMode="External"/><Relationship Id="rId11" Type="http://schemas.openxmlformats.org/officeDocument/2006/relationships/hyperlink" Target="http://fr.wikipedia.org/wiki/R%C3%A9seau_trophique" TargetMode="External"/><Relationship Id="rId5" Type="http://schemas.openxmlformats.org/officeDocument/2006/relationships/endnotes" Target="endnotes.xml"/><Relationship Id="rId15" Type="http://schemas.openxmlformats.org/officeDocument/2006/relationships/hyperlink" Target="http://www.ncbi.nlm.nih.gov/pubmed/?term=Mandel%20M%5BAuthor%5D&amp;cauthor=true&amp;cauthor_uid=4998365" TargetMode="External"/><Relationship Id="rId10" Type="http://schemas.openxmlformats.org/officeDocument/2006/relationships/hyperlink" Target="http://fr.wikipedia.org/wiki/Biodiversit%C3%A9" TargetMode="Externa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fr.wikipedia.org/wiki/Eau" TargetMode="External"/><Relationship Id="rId14" Type="http://schemas.openxmlformats.org/officeDocument/2006/relationships/hyperlink" Target="http://www.ncbi.nlm.nih.gov/pubmed/?term=Kunisawa%20R%5BAuthor%5D&amp;cauthor=true&amp;cauthor_uid=499836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414</Words>
  <Characters>2281</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AZEDROU</dc:creator>
  <cp:keywords/>
  <dc:description/>
  <cp:lastModifiedBy>AZEDROU</cp:lastModifiedBy>
  <cp:revision>5</cp:revision>
  <cp:lastPrinted>2015-02-26T07:19:00Z</cp:lastPrinted>
  <dcterms:created xsi:type="dcterms:W3CDTF">2015-02-26T07:12:00Z</dcterms:created>
  <dcterms:modified xsi:type="dcterms:W3CDTF">2015-02-26T07:21:00Z</dcterms:modified>
</cp:coreProperties>
</file>